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B380E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B380E" w:rsidRDefault="000B380E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B380E" w:rsidRDefault="00CB3183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приёма заявок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«1</w:t>
      </w:r>
      <w:r w:rsidR="00877EF2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 сентября 2022 г.</w:t>
      </w:r>
    </w:p>
    <w:p w:rsidR="000B380E" w:rsidRDefault="00CB3183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продажи  </w:t>
      </w:r>
      <w:r w:rsidR="00877EF2">
        <w:rPr>
          <w:rFonts w:ascii="Times New Roman" w:hAnsi="Times New Roman" w:cs="Times New Roman"/>
          <w:b/>
          <w:color w:val="000000"/>
          <w:sz w:val="26"/>
          <w:szCs w:val="26"/>
        </w:rPr>
        <w:t>«20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 сентября 2022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B380E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имущества посредством публичного предложения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5618B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родаж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имущества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посредством публичного предложения 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электронной форме</w:t>
            </w:r>
          </w:p>
          <w:p w:rsidR="000B380E" w:rsidRDefault="000B380E">
            <w:pPr>
              <w:pStyle w:val="TableContents"/>
              <w:spacing w:after="115" w:line="225" w:lineRule="atLeast"/>
              <w:jc w:val="both"/>
            </w:pP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833021">
            <w:pPr>
              <w:suppressAutoHyphens w:val="0"/>
              <w:spacing w:line="276" w:lineRule="auto"/>
              <w:textAlignment w:val="auto"/>
            </w:pPr>
            <w:hyperlink r:id="rId7" w:history="1">
              <w:r w:rsidR="00CB3183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CB318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0B380E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Default="000B380E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80E">
        <w:trPr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Организатор процедуры (Продавец), </w:t>
            </w:r>
          </w:p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B380E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80E" w:rsidRDefault="00833021">
            <w:pPr>
              <w:pStyle w:val="TableContents"/>
              <w:spacing w:line="225" w:lineRule="atLeast"/>
              <w:jc w:val="both"/>
            </w:pPr>
            <w:hyperlink r:id="rId8" w:history="1">
              <w:r w:rsidR="00CB3183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B380E" w:rsidRDefault="00CB3183">
            <w:pPr>
              <w:pStyle w:val="Standard"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Фактический (почтовый) адрес: 628240, ул.50 лет Пионерии ул., д.10, г. Советский, Советский район, Ханты-Мансийский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автономный округ – Югра, Тюменская область</w:t>
            </w:r>
            <w:proofErr w:type="gramEnd"/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Богатова Светлана Георгиевна,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№134-р</w:t>
            </w:r>
          </w:p>
        </w:tc>
      </w:tr>
      <w:tr w:rsidR="000B380E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0B380E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0B380E">
        <w:trPr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0B380E" w:rsidRDefault="000B380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Standard"/>
              <w:ind w:hanging="73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Обыкновенные именные бездокументарные акции открытого акционерного общества «Столовая №5»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 Начальная цена, руб. в том числе НДС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4 977 000 (Четыре миллиона девятьсот семьдесят семь тысяч) рублей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2 488 500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877EF2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248 850,0 рублей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877EF2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49770 рублей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877EF2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995 400,0 рублей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extbody"/>
              <w:spacing w:after="29" w:line="240" w:lineRule="atLeast"/>
              <w:jc w:val="both"/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Постановление администрации Советского района №1696 от 03.08.2022 «О реализации имущества посредствам публичного предложения»</w:t>
            </w:r>
          </w:p>
        </w:tc>
      </w:tr>
      <w:tr w:rsidR="000B380E">
        <w:trPr>
          <w:trHeight w:val="245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1. Полное наименование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открытое акционерное общество  «Ст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ловая №5».</w:t>
            </w:r>
          </w:p>
          <w:p w:rsidR="000B380E" w:rsidRDefault="00CB3183">
            <w:pPr>
              <w:suppressAutoHyphens w:val="0"/>
              <w:ind w:firstLine="72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Сокращенное наименование –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ОАО «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Столовая №5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».</w:t>
            </w:r>
          </w:p>
          <w:p w:rsidR="000B380E" w:rsidRDefault="00CB3183">
            <w:pPr>
              <w:suppressAutoHyphens w:val="0"/>
              <w:ind w:right="57" w:firstLine="709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Место нахождения и почтовый адрес -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628240, Российская Федерация, Ханты-Мансийский автономный округ - Югра, г. 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ветский,  ул. 50 лет Пионерии, 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.</w:t>
            </w:r>
          </w:p>
          <w:p w:rsidR="000B380E" w:rsidRDefault="00CB3183">
            <w:pPr>
              <w:suppressAutoHyphens w:val="0"/>
              <w:ind w:right="57" w:firstLine="72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 xml:space="preserve">Данные государственной регистрации: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Свидетельство от 08 декабря 2010 г. (серия 86 № 001863385) о государственной рег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страции юридического лица ОАО «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Столовая №5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» путем создания за основным государственным регистрационным номером 1108622001652, выдано Межрайонной инспекцией Федеральной налоговой службы № 4 по Ханты-Мансийскому автономному округу-Югре.</w:t>
            </w:r>
          </w:p>
          <w:p w:rsidR="000B380E" w:rsidRDefault="00CB3183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2. П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еречень видов основной продукции (работ, услуг), произво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ство которой осуществляется открытым акционерным обществом или обществом с ограниченной ответственностью:</w:t>
            </w:r>
          </w:p>
          <w:p w:rsidR="000B380E" w:rsidRDefault="00CB3183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преимущественно пищевыми продуктами,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включая напитки, и табачными изделиями в неспециализирова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магазинах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;</w:t>
            </w:r>
          </w:p>
          <w:p w:rsidR="000B380E" w:rsidRDefault="00CB3183">
            <w:pPr>
              <w:shd w:val="clear" w:color="auto" w:fill="FFFFFF"/>
              <w:suppressAutoHyphens w:val="0"/>
              <w:ind w:right="57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предприятий общественного питания по прочим видам организации питания </w:t>
            </w:r>
          </w:p>
          <w:p w:rsidR="000B380E" w:rsidRDefault="00CB3183">
            <w:pPr>
              <w:shd w:val="clear" w:color="auto" w:fill="FFFFFF"/>
              <w:suppressAutoHyphens w:val="0"/>
              <w:ind w:right="57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3. Размер уставного капитала акционерного общества, общее 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личество, номинальная стоимость и категории выпущенных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ций акционерного общества</w:t>
            </w:r>
          </w:p>
          <w:p w:rsidR="000B380E" w:rsidRDefault="00CB3183">
            <w:pPr>
              <w:shd w:val="clear" w:color="auto" w:fill="FFFFFF"/>
              <w:suppressAutoHyphens w:val="0"/>
              <w:ind w:right="57" w:firstLine="709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Размер уставного капитала –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 5 290 000 (пять миллионов двести  тысяч) рублей.</w:t>
            </w:r>
          </w:p>
          <w:p w:rsidR="000B380E" w:rsidRDefault="00CB3183">
            <w:pPr>
              <w:suppressAutoHyphens w:val="0"/>
              <w:ind w:firstLine="709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Общее количество и категории выпущенных акций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 – 5290 обыкновенных именных акций в бездокументарной форме (гос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дарственный регистрационный номер выпуска 1-01-33522-D). </w:t>
            </w:r>
          </w:p>
          <w:p w:rsidR="000B380E" w:rsidRDefault="00CB3183">
            <w:pPr>
              <w:shd w:val="clear" w:color="auto" w:fill="FFFFFF"/>
              <w:suppressAutoHyphens w:val="0"/>
              <w:ind w:right="57" w:firstLine="709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Номинальная стоимость акций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 одинакова и равна 1000 руб.</w:t>
            </w:r>
          </w:p>
          <w:p w:rsidR="000B380E" w:rsidRDefault="00CB3183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4. Реестродержатель –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 ОАО «Регистратор-Капитал».</w:t>
            </w:r>
          </w:p>
          <w:p w:rsidR="000B380E" w:rsidRDefault="00CB3183">
            <w:pPr>
              <w:suppressAutoHyphens w:val="0"/>
              <w:ind w:right="57" w:firstLine="709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Место нахождения и почтовый адрес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 –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 xml:space="preserve">620041,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пер.Трамвайный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 xml:space="preserve">, д.15 каб.101.,   </w:t>
            </w:r>
            <w:hyperlink r:id="rId9" w:history="1"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val="en-US" w:eastAsia="ru-RU" w:bidi="ar-SA"/>
                </w:rPr>
                <w:t>http</w:t>
              </w:r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eastAsia="ru-RU" w:bidi="ar-SA"/>
                </w:rPr>
                <w:t>://</w:t>
              </w:r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val="en-US" w:eastAsia="ru-RU" w:bidi="ar-SA"/>
                </w:rPr>
                <w:t>www</w:t>
              </w:r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eastAsia="ru-RU" w:bidi="ar-SA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val="en-US" w:eastAsia="ru-RU" w:bidi="ar-SA"/>
                </w:rPr>
                <w:t>regkap</w:t>
              </w:r>
              <w:proofErr w:type="spellEnd"/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eastAsia="ru-RU" w:bidi="ar-SA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iCs/>
                  <w:kern w:val="0"/>
                  <w:sz w:val="26"/>
                  <w:szCs w:val="26"/>
                  <w:lang w:val="en-US" w:eastAsia="ru-RU" w:bidi="ar-SA"/>
                </w:rPr>
                <w:t>ru</w:t>
              </w:r>
              <w:proofErr w:type="spellEnd"/>
            </w:hyperlink>
          </w:p>
          <w:p w:rsidR="000B380E" w:rsidRDefault="00CB3183">
            <w:p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5. Численность работников акционерного общества на 2021 г.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– 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человек.</w:t>
            </w:r>
          </w:p>
          <w:p w:rsidR="000B380E" w:rsidRDefault="00CB3183">
            <w:p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6. Площадь земельного участка или земельных участков, на кот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рых расположено недвижимое имущество акционерного общества.</w:t>
            </w:r>
          </w:p>
          <w:p w:rsidR="000B380E" w:rsidRDefault="00CB3183">
            <w:p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Земельный участок общей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ab/>
              <w:t xml:space="preserve">площадью 143,0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., распол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 xml:space="preserve">женный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ул.Гастелло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,  41б, предоставлен по договору аренды.</w:t>
            </w:r>
          </w:p>
          <w:p w:rsidR="000B380E" w:rsidRDefault="00CB3183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7. Площадь и перечень объектов недвижимого имущества акци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нерного общества с указанием действующих обременений и уст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новленных при приватизации обременений.</w:t>
            </w:r>
          </w:p>
          <w:p w:rsidR="000B380E" w:rsidRDefault="00CB3183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Нежилое помещение, общей площадью 196,7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., по адресу: Россия, Тюменская область,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, ул. Г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стелло, 41б.</w:t>
            </w:r>
          </w:p>
          <w:p w:rsidR="000B380E" w:rsidRDefault="00CB3183">
            <w:p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8. Сведения о доле на рынке определенного товара хозяйствующ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го субъекта, включенного в Реестр хозяйствующих субъектов, имеющих долю на рынке определенного товара в размере более чем 35%</w:t>
            </w:r>
          </w:p>
          <w:p w:rsidR="000B380E" w:rsidRDefault="00CB3183">
            <w:pPr>
              <w:shd w:val="clear" w:color="auto" w:fill="FFFFFF"/>
              <w:suppressAutoHyphens w:val="0"/>
              <w:ind w:left="113" w:firstLine="596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 Реестр не включено.</w:t>
            </w:r>
          </w:p>
          <w:p w:rsidR="000B380E" w:rsidRDefault="00CB3183">
            <w:p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9. Сведения о дочерних и зависимых обществах эмитента с указ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нием его доли в их уставных капиталах</w:t>
            </w:r>
          </w:p>
          <w:p w:rsidR="000B380E" w:rsidRDefault="00CB3183">
            <w:pPr>
              <w:shd w:val="clear" w:color="auto" w:fill="FFFFFF"/>
              <w:suppressAutoHyphens w:val="0"/>
              <w:ind w:left="113" w:firstLine="596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Дочерних и зависимых обществ нет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ru-RU" w:bidi="ar-SA"/>
              </w:rPr>
              <w:t>.</w:t>
            </w:r>
          </w:p>
          <w:p w:rsidR="000B380E" w:rsidRDefault="000B38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14.Срок и порядок внесения и возврата задатка. Реквизиты счёта для перечисления задатка. Назначение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0B380E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Задаток на участие в процедуре продажи служит обеспечением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0B380E" w:rsidRDefault="00CB3183">
            <w:pPr>
              <w:suppressLineNumbers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10" w:history="1">
              <w:r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http://utp.sberbank-ast.ru/Bankruptcy/Notice/698/Requisites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B380E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момент подачи заявки на участие и её регистрации ЭП программными средствами осуществляет блокирование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0B380E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на момент подачи заявки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непоступлении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0B380E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0B380E" w:rsidRDefault="00CB3183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0B380E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11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отсечения. «Шаг понижения»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подтвердил хотя бы один Участник (далее – начальная цена аукциона).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Время приема предложений о цене имущества составляет 10 (десять) минут. 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0B380E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B380E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подлежит налогообложению в соответствии с пп.12 п.2 ст.149 НК РФ.</w:t>
            </w:r>
          </w:p>
        </w:tc>
      </w:tr>
      <w:tr w:rsidR="000B380E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B380E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лицо направляет на электронный адрес Организатора, указанный в настоящем информационном сообщении, запрос.  </w:t>
            </w:r>
          </w:p>
          <w:p w:rsidR="000B380E" w:rsidRDefault="00CB3183">
            <w:pPr>
              <w:pStyle w:val="Standard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B380E">
        <w:trPr>
          <w:trHeight w:val="184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копия всех листов документа, удостоверяющ</w:t>
            </w:r>
            <w:r w:rsidR="0087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личность.</w:t>
            </w:r>
          </w:p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документам прилагается ОПИСЬ ДОКУМЕНТОВ, составленная в произвольной форме с указанием количества листов каждого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документа.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  <w:proofErr w:type="gramEnd"/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 </w:t>
            </w:r>
            <w:proofErr w:type="gramEnd"/>
          </w:p>
          <w:p w:rsidR="000B380E" w:rsidRDefault="00CB3183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0B380E" w:rsidRDefault="00CB3183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0B380E" w:rsidRDefault="00CB3183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0B380E" w:rsidRDefault="00CB3183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Федерации. </w:t>
            </w:r>
          </w:p>
          <w:p w:rsidR="000B380E" w:rsidRDefault="00CB3183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Акционерные общества, общества с ограниченной ответственностью не могут являться покупателями своих акций, своих долей в уставных капиталах.</w:t>
            </w:r>
          </w:p>
          <w:p w:rsidR="000B380E" w:rsidRDefault="00CB3183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      </w:r>
            <w:proofErr w:type="gramEnd"/>
          </w:p>
          <w:p w:rsidR="000B380E" w:rsidRDefault="00CB3183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0B380E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Условия проведения процедуры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0B380E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2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EB13E9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.08.2022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Default="00CB3183">
            <w:pPr>
              <w:pStyle w:val="TableContents"/>
              <w:spacing w:after="115" w:line="225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UTC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+2)</w:t>
            </w:r>
          </w:p>
          <w:p w:rsidR="000B380E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380E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7E3FC2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.09.2022</w:t>
            </w:r>
          </w:p>
          <w:p w:rsidR="000B380E" w:rsidRDefault="007E3FC2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Default="000B3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 w:rsidP="0073329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E3F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33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Default="000B3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7E3FC2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733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CB31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  <w:bookmarkStart w:id="0" w:name="_GoBack"/>
            <w:bookmarkEnd w:id="0"/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Default="000B3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80E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0B380E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Организатор вправе вносить изменения в аукционную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цию не позднее срока окончания приема заявок на участие в ау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ционе.</w:t>
            </w:r>
          </w:p>
          <w:p w:rsidR="000B380E" w:rsidRDefault="00CB3183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ции.</w:t>
            </w:r>
          </w:p>
          <w:p w:rsidR="000B380E" w:rsidRDefault="00CB3183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B380E" w:rsidRDefault="00CB3183">
            <w:pPr>
              <w:pStyle w:val="TableContents"/>
              <w:spacing w:after="115" w:line="270" w:lineRule="atLeast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чем за три дня до наступления даты его проведения.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об отказе проведения аукциона размещается на сайте электронной площадки.</w:t>
            </w:r>
          </w:p>
        </w:tc>
      </w:tr>
      <w:tr w:rsidR="000B380E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Документы и сведения</w:t>
            </w:r>
          </w:p>
        </w:tc>
      </w:tr>
      <w:tr w:rsidR="000B380E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0B380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380E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июля 2022 года аукцион признан несостоявшимся</w:t>
            </w:r>
          </w:p>
        </w:tc>
      </w:tr>
      <w:tr w:rsidR="000B380E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Default="00CB31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0B380E" w:rsidRDefault="00CB31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работы на Универсальной торговой платформе АО «Сбербанк-АСТ» http://utp.sberbank-ast.ru и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0B380E" w:rsidRDefault="00CB318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необходимо открыть сайт utp.sberbank-ast.ru. Перейти по ссылке «Регистрация»</w:t>
            </w:r>
          </w:p>
          <w:p w:rsidR="000B380E" w:rsidRDefault="00CB318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0B380E" w:rsidRDefault="00CB318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B380E" w:rsidRDefault="00CB318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B380E" w:rsidRDefault="00CB3183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B380E" w:rsidRDefault="00CB3183">
      <w:pPr>
        <w:pStyle w:val="Textbody"/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0B380E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21" w:rsidRDefault="00833021">
      <w:r>
        <w:separator/>
      </w:r>
    </w:p>
  </w:endnote>
  <w:endnote w:type="continuationSeparator" w:id="0">
    <w:p w:rsidR="00833021" w:rsidRDefault="0083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21" w:rsidRDefault="00833021">
      <w:r>
        <w:rPr>
          <w:color w:val="000000"/>
        </w:rPr>
        <w:separator/>
      </w:r>
    </w:p>
  </w:footnote>
  <w:footnote w:type="continuationSeparator" w:id="0">
    <w:p w:rsidR="00833021" w:rsidRDefault="0083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80E"/>
    <w:rsid w:val="000B380E"/>
    <w:rsid w:val="002A71E9"/>
    <w:rsid w:val="005618BE"/>
    <w:rsid w:val="006540B0"/>
    <w:rsid w:val="0073329B"/>
    <w:rsid w:val="007E3FC2"/>
    <w:rsid w:val="00833021"/>
    <w:rsid w:val="00877EF2"/>
    <w:rsid w:val="00C03101"/>
    <w:rsid w:val="00CB3183"/>
    <w:rsid w:val="00EB13E9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Main/NBT/DefaultAction/0/3/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Bankruptcy/Notice/698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k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</cp:revision>
  <cp:lastPrinted>2022-08-08T07:57:00Z</cp:lastPrinted>
  <dcterms:created xsi:type="dcterms:W3CDTF">2022-08-19T04:07:00Z</dcterms:created>
  <dcterms:modified xsi:type="dcterms:W3CDTF">2022-08-19T04:07:00Z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